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7976BE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7ADAEF3C" w:rsidR="007976BE" w:rsidRPr="00E9662C" w:rsidRDefault="005567E3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Gram-positive cocci, usually occurs in clusters,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nonspore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forming, non-motile, coagulase positive, facultative anaerobes.</w:t>
            </w:r>
          </w:p>
        </w:tc>
      </w:tr>
      <w:tr w:rsidR="007976BE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0A8843B3" w:rsidR="007976BE" w:rsidRPr="00E9662C" w:rsidRDefault="005567E3" w:rsidP="00556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Toxic shock syndrome, food poisoning, intoxication,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impetigo.</w:t>
            </w:r>
          </w:p>
        </w:tc>
      </w:tr>
      <w:tr w:rsidR="007976BE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7976BE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5A2FC10" w:rsidR="007976BE" w:rsidRPr="00C946D1" w:rsidRDefault="005567E3" w:rsidP="00556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Yes, indirect and direct contact with infected animals,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especially cows.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30025183" w:rsidR="00A87A27" w:rsidRPr="00E9662C" w:rsidRDefault="00205F9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</w:t>
            </w:r>
            <w:r w:rsidR="005567E3">
              <w:rPr>
                <w:rFonts w:ascii="Calibri" w:eastAsia="Times New Roman" w:hAnsi="Calibri" w:cs="Times New Roman"/>
                <w:color w:val="000000"/>
              </w:rPr>
              <w:t xml:space="preserve"> and animals.</w:t>
            </w:r>
          </w:p>
        </w:tc>
      </w:tr>
      <w:tr w:rsidR="007976BE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4017B5F8" w:rsidR="007976BE" w:rsidRPr="00E9662C" w:rsidRDefault="005567E3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Ingestion of food containing enterotoxins, contact with nasal carriers, contact with draining lesions or purulent discharges, also spread by person-to-person contact; Indirectly by contact with fomites, Indirectly or directly by contact with infected animals.</w:t>
            </w:r>
          </w:p>
        </w:tc>
      </w:tr>
      <w:tr w:rsidR="007976BE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0588FAAC" w:rsidR="007976BE" w:rsidRPr="00923778" w:rsidRDefault="005567E3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Accidental ingestion: Violent onset of severe nausea, cramps, vomiting, and diarrhea if preformed enterotoxin is present. Surface infections: Impetigo,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follicutis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abscesses, boils, infected lacerations. Systemic infections: onset of fever, headache, myalgia, can progress to endocarditis, meningitis, septic arthritis, pneumonia, osteomyelitis, sepsis.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6C9118D3" w:rsidR="00A87A27" w:rsidRPr="00E9662C" w:rsidRDefault="005567E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Virulence varies for different strains.</w:t>
            </w:r>
          </w:p>
        </w:tc>
      </w:tr>
      <w:tr w:rsidR="00194FD1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58D0068" w:rsidR="00194FD1" w:rsidRPr="00E9662C" w:rsidRDefault="005567E3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minutes to 8 hours when consuming contaminated food with enterotoxin. Otherwise, typically 4 to 10 days. Disease may not occur until several months after colonization of mucosal surfaces.</w:t>
            </w:r>
          </w:p>
        </w:tc>
      </w:tr>
    </w:tbl>
    <w:p w14:paraId="04DC981E" w14:textId="77777777" w:rsidR="006F52C8" w:rsidRDefault="006F52C8" w:rsidP="00A87A27">
      <w:pPr>
        <w:pStyle w:val="NoSpacing"/>
      </w:pPr>
    </w:p>
    <w:p w14:paraId="6BDF8FD2" w14:textId="77777777" w:rsidR="005567E3" w:rsidRDefault="005567E3" w:rsidP="00A87A27">
      <w:pPr>
        <w:pStyle w:val="NoSpacing"/>
      </w:pPr>
    </w:p>
    <w:p w14:paraId="03069FF9" w14:textId="77777777" w:rsidR="005567E3" w:rsidRDefault="005567E3" w:rsidP="00A87A27">
      <w:pPr>
        <w:pStyle w:val="NoSpacing"/>
      </w:pPr>
    </w:p>
    <w:p w14:paraId="4F5D79BD" w14:textId="77777777" w:rsidR="005567E3" w:rsidRDefault="005567E3" w:rsidP="00A87A27">
      <w:pPr>
        <w:pStyle w:val="NoSpacing"/>
      </w:pPr>
    </w:p>
    <w:p w14:paraId="2D817241" w14:textId="77777777" w:rsidR="005567E3" w:rsidRDefault="005567E3" w:rsidP="00A87A27">
      <w:pPr>
        <w:pStyle w:val="NoSpacing"/>
      </w:pPr>
    </w:p>
    <w:p w14:paraId="23A6D20D" w14:textId="77777777" w:rsidR="005567E3" w:rsidRDefault="005567E3" w:rsidP="00A87A27">
      <w:pPr>
        <w:pStyle w:val="NoSpacing"/>
      </w:pPr>
    </w:p>
    <w:p w14:paraId="747C5EC0" w14:textId="77777777" w:rsidR="005567E3" w:rsidRDefault="005567E3" w:rsidP="00A87A27">
      <w:pPr>
        <w:pStyle w:val="NoSpacing"/>
      </w:pPr>
    </w:p>
    <w:p w14:paraId="16F25298" w14:textId="77777777" w:rsidR="005567E3" w:rsidRDefault="005567E3" w:rsidP="00A87A27">
      <w:pPr>
        <w:pStyle w:val="NoSpacing"/>
      </w:pPr>
    </w:p>
    <w:p w14:paraId="53F05277" w14:textId="77777777" w:rsidR="005567E3" w:rsidRDefault="005567E3" w:rsidP="00A87A27">
      <w:pPr>
        <w:pStyle w:val="NoSpacing"/>
      </w:pPr>
    </w:p>
    <w:p w14:paraId="05F652E1" w14:textId="77777777" w:rsidR="005567E3" w:rsidRDefault="005567E3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D22C18" w:rsidRPr="00E9662C" w14:paraId="5F92EF13" w14:textId="77777777" w:rsidTr="00531455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17AD03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194FD1" w:rsidRPr="00E9662C" w14:paraId="33724FBF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99FA" w14:textId="77777777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C43E" w14:textId="7BEA504E" w:rsidR="00194FD1" w:rsidRPr="00E9662C" w:rsidRDefault="005567E3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Hand-hygiene; Elimination of nasal carriage by using topical mupirocin. Mupirocin also eliminates transient hand carriage by eliminating the mucosal reservoir.</w:t>
            </w:r>
          </w:p>
        </w:tc>
      </w:tr>
      <w:tr w:rsidR="00D22C18" w:rsidRPr="00E9662C" w14:paraId="61D09619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854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0577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7976BE" w:rsidRPr="00E9662C" w14:paraId="370B71E1" w14:textId="77777777" w:rsidTr="00531455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1E31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E790" w14:textId="4AB4D857" w:rsidR="007976BE" w:rsidRPr="00E9662C" w:rsidRDefault="005567E3" w:rsidP="00B977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Incision and drainage for localized skin infections; antibiotic therapy for severe infections; Many strains resistant to antibiotics; Sensitivity must be determined for each strain.</w:t>
            </w:r>
          </w:p>
        </w:tc>
      </w:tr>
      <w:tr w:rsidR="00D22C18" w:rsidRPr="00E9662C" w14:paraId="5690D44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429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D76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ACE">
              <w:rPr>
                <w:rFonts w:ascii="Calibri" w:eastAsia="Times New Roman" w:hAnsi="Calibri" w:cs="Times New Roman"/>
                <w:color w:val="000000"/>
              </w:rPr>
              <w:t>Monitor for symptoms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22C18" w:rsidRPr="00E9662C" w14:paraId="5261200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684F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613B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A5E40CA" w14:textId="77777777" w:rsidR="00205F96" w:rsidRDefault="00205F96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5567E3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LABORATORY HAZARDS</w:t>
            </w:r>
          </w:p>
        </w:tc>
      </w:tr>
      <w:tr w:rsidR="007976BE" w:rsidRPr="005567E3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7976BE" w:rsidRPr="005567E3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57D7A649" w:rsidR="007976BE" w:rsidRPr="005567E3" w:rsidRDefault="005567E3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 reported cases up to 1973 with 1 death. Most common cause of laboratory infection was accidental self-exposure via the mucous membranes by touching contaminated hands to face or eyes.</w:t>
            </w:r>
          </w:p>
        </w:tc>
      </w:tr>
      <w:tr w:rsidR="00870ED9" w:rsidRPr="005567E3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6F9C2B26" w:rsidR="00870ED9" w:rsidRPr="005567E3" w:rsidRDefault="005567E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Contaminated food, blood, abscesses, lesion exudates, CFS, respiratory specimen, feces, and urine. </w:t>
            </w:r>
            <w:r w:rsidR="00AD5747"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Cultures, frozen stocks, other samples described in IBC protocol.</w:t>
            </w:r>
          </w:p>
        </w:tc>
      </w:tr>
    </w:tbl>
    <w:p w14:paraId="01918AA3" w14:textId="77777777" w:rsidR="00194FD1" w:rsidRDefault="00194FD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5567E3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RISK GROUP &amp; CONTAINMENT REQUIREMENTS</w:t>
            </w:r>
          </w:p>
        </w:tc>
      </w:tr>
      <w:tr w:rsidR="00870ED9" w:rsidRPr="005567E3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5567E3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Agents that are associated with human disease</w:t>
            </w:r>
            <w:r w:rsidR="003667F2"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which is rarely serious and for which preventive or</w:t>
            </w:r>
            <w:r w:rsidR="003667F2"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therapeutic interventions are often available.</w:t>
            </w:r>
          </w:p>
        </w:tc>
      </w:tr>
      <w:tr w:rsidR="00870ED9" w:rsidRPr="005567E3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all procedures involving suspected or known infectious specimen or cultures.</w:t>
            </w:r>
          </w:p>
        </w:tc>
      </w:tr>
      <w:tr w:rsidR="00870ED9" w:rsidRPr="005567E3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all procedures 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5567E3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5567E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VIABILITY</w:t>
            </w:r>
          </w:p>
        </w:tc>
      </w:tr>
      <w:tr w:rsidR="007976BE" w:rsidRPr="005567E3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7976BE" w:rsidRPr="005567E3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28AD1F30" w:rsidR="007976BE" w:rsidRPr="005567E3" w:rsidRDefault="005567E3" w:rsidP="007976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Susceptible to 1:10 </w:t>
            </w:r>
            <w:proofErr w:type="spellStart"/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bleach:water</w:t>
            </w:r>
            <w:proofErr w:type="spellEnd"/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70 % ethanol and 2 % </w:t>
            </w:r>
            <w:proofErr w:type="spellStart"/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gluteraldehyde</w:t>
            </w:r>
            <w:proofErr w:type="spellEnd"/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chlorohexadine</w:t>
            </w:r>
            <w:proofErr w:type="spellEnd"/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formaldehyde, and 0.25 % benzalkonium chloride.</w:t>
            </w:r>
          </w:p>
        </w:tc>
      </w:tr>
      <w:tr w:rsidR="00870ED9" w:rsidRPr="005567E3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6A2030B3" w:rsidR="00870ED9" w:rsidRPr="005567E3" w:rsidRDefault="00C966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Inactivated by moist heat (1 hour at 121</w:t>
            </w:r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o</w:t>
            </w:r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C)</w:t>
            </w:r>
            <w:r w:rsidR="00E914F8"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dry heat (1 hour at 170</w:t>
            </w:r>
            <w:r w:rsidR="00E914F8"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o</w:t>
            </w:r>
            <w:r w:rsidR="00E914F8"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C)</w:t>
            </w:r>
            <w:r w:rsidR="001355E0"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C223D" w:rsidRPr="005567E3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5567E3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41902A03" w:rsidR="00DC223D" w:rsidRPr="005567E3" w:rsidRDefault="005567E3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Carcass and organs – 42 days; Skin – 30 minutes to 38 days; meat products – 60 days; floor – less than 7 days; glassware – 46 hours; sunlight – 17 days; UV light – 7 hours.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5567E3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SUPPLEMENTAL REFERENCES</w:t>
            </w:r>
          </w:p>
        </w:tc>
      </w:tr>
      <w:tr w:rsidR="00870ED9" w:rsidRPr="005567E3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7" w:history="1">
              <w:r w:rsidRPr="005567E3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https://www.cdc.gov/labs/BMBL.html</w:t>
              </w:r>
            </w:hyperlink>
            <w:r w:rsidRPr="005567E3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870ED9" w:rsidRPr="005567E3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6"/>
                <w:szCs w:val="16"/>
                <w:u w:val="single"/>
              </w:rPr>
            </w:pPr>
            <w:hyperlink r:id="rId8" w:history="1">
              <w:r w:rsidRPr="005567E3">
                <w:rPr>
                  <w:rStyle w:val="Hyperlink"/>
                  <w:rFonts w:ascii="Calibri" w:eastAsia="Times New Roman" w:hAnsi="Calibri" w:cs="Times New Roman"/>
                  <w:sz w:val="16"/>
                  <w:szCs w:val="16"/>
                </w:rPr>
                <w:t>https://osp.od.nih.gov/wp-content/uploads/NIH_Guidelines.pdf</w:t>
              </w:r>
            </w:hyperlink>
            <w:r w:rsidRPr="005567E3">
              <w:rPr>
                <w:rFonts w:ascii="Calibri" w:eastAsia="Times New Roman" w:hAnsi="Calibri" w:cs="Times New Roman"/>
                <w:color w:val="0563C1"/>
                <w:sz w:val="16"/>
                <w:szCs w:val="16"/>
                <w:u w:val="single"/>
              </w:rPr>
              <w:t xml:space="preserve"> </w:t>
            </w:r>
          </w:p>
        </w:tc>
      </w:tr>
      <w:tr w:rsidR="00194FD1" w:rsidRPr="005567E3" w14:paraId="47DEA5C8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B7F1" w14:textId="1A345C2A" w:rsidR="00194FD1" w:rsidRPr="005567E3" w:rsidRDefault="00194FD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57DD" w14:textId="4F70E65C" w:rsidR="00194FD1" w:rsidRPr="005567E3" w:rsidRDefault="005567E3" w:rsidP="009D389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u w:val="single"/>
              </w:rPr>
            </w:pPr>
            <w:hyperlink r:id="rId9" w:history="1">
              <w:r w:rsidRPr="005567E3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https://www.canada.ca/en/public-health/services/laboratory-biosafety-biosecurity/pathogen-safety-data-sheets-risk-assessment/staphylococcus-aureus.html</w:t>
              </w:r>
            </w:hyperlink>
          </w:p>
        </w:tc>
      </w:tr>
    </w:tbl>
    <w:p w14:paraId="4F95AD08" w14:textId="77777777" w:rsidR="00194FD1" w:rsidRDefault="00194FD1" w:rsidP="00A87A27">
      <w:pPr>
        <w:pStyle w:val="NoSpacing"/>
        <w:sectPr w:rsidR="00194FD1" w:rsidSect="00D22C18">
          <w:headerReference w:type="default" r:id="rId10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C00F903" w14:textId="77777777" w:rsidR="00205F96" w:rsidRDefault="00205F96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120495CB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2D099C" w:rsidRPr="002D099C">
      <w:rPr>
        <w:rFonts w:ascii="Calibri" w:hAnsi="Calibri" w:cs="Calibri"/>
        <w:color w:val="000000" w:themeColor="text1"/>
        <w:sz w:val="28"/>
        <w:szCs w:val="28"/>
      </w:rPr>
      <w:t>Staphylococcus aureus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1886"/>
    <w:rsid w:val="00022DF5"/>
    <w:rsid w:val="0005422D"/>
    <w:rsid w:val="00066FB6"/>
    <w:rsid w:val="0007249A"/>
    <w:rsid w:val="00085C00"/>
    <w:rsid w:val="000A6D01"/>
    <w:rsid w:val="00104414"/>
    <w:rsid w:val="00120DBE"/>
    <w:rsid w:val="001355E0"/>
    <w:rsid w:val="0014248E"/>
    <w:rsid w:val="001845EA"/>
    <w:rsid w:val="0018540D"/>
    <w:rsid w:val="00194FD1"/>
    <w:rsid w:val="001D030D"/>
    <w:rsid w:val="001E2496"/>
    <w:rsid w:val="00205F96"/>
    <w:rsid w:val="00207B89"/>
    <w:rsid w:val="00216F34"/>
    <w:rsid w:val="00223B85"/>
    <w:rsid w:val="00223D59"/>
    <w:rsid w:val="00224F64"/>
    <w:rsid w:val="00230B6C"/>
    <w:rsid w:val="0024503D"/>
    <w:rsid w:val="002465E2"/>
    <w:rsid w:val="002561F4"/>
    <w:rsid w:val="002579B8"/>
    <w:rsid w:val="00267ACE"/>
    <w:rsid w:val="00292CB3"/>
    <w:rsid w:val="002C560B"/>
    <w:rsid w:val="002D099C"/>
    <w:rsid w:val="003575A3"/>
    <w:rsid w:val="003667F2"/>
    <w:rsid w:val="00383771"/>
    <w:rsid w:val="003C76A4"/>
    <w:rsid w:val="00407585"/>
    <w:rsid w:val="004868CE"/>
    <w:rsid w:val="00486F78"/>
    <w:rsid w:val="00494F73"/>
    <w:rsid w:val="0050488C"/>
    <w:rsid w:val="005567E3"/>
    <w:rsid w:val="00567EFE"/>
    <w:rsid w:val="00597370"/>
    <w:rsid w:val="005A619B"/>
    <w:rsid w:val="005A7AC6"/>
    <w:rsid w:val="005B63BC"/>
    <w:rsid w:val="005D0EF9"/>
    <w:rsid w:val="0063525D"/>
    <w:rsid w:val="00675DF4"/>
    <w:rsid w:val="0067681D"/>
    <w:rsid w:val="006771FE"/>
    <w:rsid w:val="006C3A59"/>
    <w:rsid w:val="006E6036"/>
    <w:rsid w:val="006F52C8"/>
    <w:rsid w:val="007547EF"/>
    <w:rsid w:val="00772B97"/>
    <w:rsid w:val="007976BE"/>
    <w:rsid w:val="007A64FD"/>
    <w:rsid w:val="007E6885"/>
    <w:rsid w:val="00801DC2"/>
    <w:rsid w:val="0081162C"/>
    <w:rsid w:val="00814DEC"/>
    <w:rsid w:val="00815F1F"/>
    <w:rsid w:val="00830E31"/>
    <w:rsid w:val="00870ED9"/>
    <w:rsid w:val="00882763"/>
    <w:rsid w:val="008A31E9"/>
    <w:rsid w:val="008E358F"/>
    <w:rsid w:val="008E5FB6"/>
    <w:rsid w:val="008F1D7A"/>
    <w:rsid w:val="008F5D65"/>
    <w:rsid w:val="00922E9E"/>
    <w:rsid w:val="00923778"/>
    <w:rsid w:val="009404AE"/>
    <w:rsid w:val="009D3928"/>
    <w:rsid w:val="009E7ED6"/>
    <w:rsid w:val="00A155B3"/>
    <w:rsid w:val="00A32FEA"/>
    <w:rsid w:val="00A56813"/>
    <w:rsid w:val="00A826EF"/>
    <w:rsid w:val="00A82908"/>
    <w:rsid w:val="00A856C8"/>
    <w:rsid w:val="00A87A27"/>
    <w:rsid w:val="00AD5747"/>
    <w:rsid w:val="00AD5E11"/>
    <w:rsid w:val="00B97716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82D53"/>
    <w:rsid w:val="00C96654"/>
    <w:rsid w:val="00CA4737"/>
    <w:rsid w:val="00CC76FD"/>
    <w:rsid w:val="00CD045D"/>
    <w:rsid w:val="00CD7485"/>
    <w:rsid w:val="00D22C18"/>
    <w:rsid w:val="00D30E6E"/>
    <w:rsid w:val="00D91BE5"/>
    <w:rsid w:val="00D94A1E"/>
    <w:rsid w:val="00DC223D"/>
    <w:rsid w:val="00E04E97"/>
    <w:rsid w:val="00E16C9E"/>
    <w:rsid w:val="00E2486A"/>
    <w:rsid w:val="00E4043C"/>
    <w:rsid w:val="00E47624"/>
    <w:rsid w:val="00E52F2E"/>
    <w:rsid w:val="00E62C32"/>
    <w:rsid w:val="00E63FEC"/>
    <w:rsid w:val="00E66D0B"/>
    <w:rsid w:val="00E83835"/>
    <w:rsid w:val="00E914F8"/>
    <w:rsid w:val="00EC20CB"/>
    <w:rsid w:val="00F12616"/>
    <w:rsid w:val="00F25678"/>
    <w:rsid w:val="00F32F77"/>
    <w:rsid w:val="00F5581E"/>
    <w:rsid w:val="00F558EC"/>
    <w:rsid w:val="00FA0D7E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C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staphylococcus-aureu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2025-05-09T21:02:00Z</dcterms:created>
  <dcterms:modified xsi:type="dcterms:W3CDTF">2025-05-09T21:09:00Z</dcterms:modified>
</cp:coreProperties>
</file>