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mc:Ignorable="w14 w15 w16se w16cid w16 w16cex w16sdtdh w16sdtfl w16du wp14">
  <w:body>
    <w:p w:rsidR="006970F4" w:rsidRDefault="00000000" w14:paraId="220D7BD4" w14:textId="77777777">
      <w:pPr>
        <w:shd w:val="clear" w:color="auto" w:fill="1B3A5C"/>
        <w:spacing w:after="25"/>
        <w:jc w:val="center"/>
      </w:pPr>
      <w:r>
        <w:rPr>
          <w:b/>
          <w:bCs/>
          <w:color w:val="FFFFFF"/>
          <w:sz w:val="36"/>
          <w:szCs w:val="36"/>
        </w:rPr>
        <w:t>Hilleman Scholar Bobcat Mentors</w:t>
      </w:r>
    </w:p>
    <w:p w:rsidR="006970F4" w:rsidRDefault="006970F4" w14:paraId="7A542D7B" w14:textId="77777777">
      <w:pPr>
        <w:spacing w:after="15"/>
      </w:pPr>
    </w:p>
    <w:p w:rsidR="60B44BEF" w:rsidP="70308F3D" w:rsidRDefault="60B44BEF" w14:paraId="5BB31AC6" w14:textId="63C6035E">
      <w:pPr>
        <w:pStyle w:val="Normal"/>
        <w:spacing w:after="90"/>
        <w:rPr>
          <w:rFonts w:ascii="Times New Roman" w:hAnsi="Times New Roman" w:eastAsia="Times New Roman" w:cs="Times New Roman"/>
          <w:noProof w:val="0"/>
          <w:sz w:val="20"/>
          <w:szCs w:val="20"/>
          <w:lang w:val="en-US"/>
        </w:rPr>
      </w:pPr>
      <w:r>
        <w:rPr>
          <w:rFonts w:ascii="Times New Roman" w:hAnsi="Times New Roman" w:eastAsia="Times New Roman" w:cs="Times New Roman"/>
          <w:noProof w:val="0"/>
          <w:sz w:val="20"/>
          <w:szCs w:val="20"/>
          <w:lang w:val="en-US"/>
        </w:rPr>
        <w:t xml:space="preserve">The Hilleman Scholars Program seeks to shape leaders, thinkers, and game changers, and mentoring is one of the key ways Scholars will grow in each of these areas. A tiered mentoring system supporting Scholars from Freshman year through post-graduation launch. Each Mentor role is designed to meet Scholars where they are - building belonging in the early years, developing leadership and durable skills in the middle years, and connecting them to real-world experience as they prepare to launch, ensuring every Scholar is equipped to successfully move to the next step.</w:t>
      </w:r>
    </w:p>
    <w:tbl>
      <w:tblPr>
        <w:tblW w:w="112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500"/>
        <w:gridCol w:w="9780"/>
      </w:tblGrid>
      <w:tr w:rsidR="006970F4" w:rsidTr="5B19FFEB" w14:paraId="755F8148" w14:textId="77777777">
        <w:tc>
          <w:tcPr>
            <w:tcW w:w="11280" w:type="dxa"/>
            <w:gridSpan w:val="2"/>
            <w:shd w:val="clear" w:color="auto" w:fill="55606B"/>
            <w:tcMar>
              <w:top w:w="60" w:type="dxa"/>
              <w:left w:w="180" w:type="dxa"/>
              <w:bottom w:w="60" w:type="dxa"/>
              <w:right w:w="180" w:type="dxa"/>
            </w:tcMar>
          </w:tcPr>
          <w:p w:rsidR="006970F4" w:rsidRDefault="00000000" w14:paraId="6612AC0E" w14:textId="77777777">
            <w:r>
              <w:rPr>
                <w:b/>
                <w:bCs/>
                <w:color w:val="FFFFFF"/>
                <w:sz w:val="24"/>
                <w:szCs w:val="24"/>
              </w:rPr>
              <w:t>Peer Scholar Mentors</w:t>
            </w:r>
          </w:p>
        </w:tc>
      </w:tr>
      <w:tr w:rsidR="006970F4" w:rsidTr="5B19FFEB" w14:paraId="69B27495" w14:textId="77777777">
        <w:tc>
          <w:tcPr>
            <w:tcW w:w="1500" w:type="dxa"/>
            <w:tcMar>
              <w:top w:w="60" w:type="dxa"/>
              <w:left w:w="160" w:type="dxa"/>
              <w:bottom w:w="60" w:type="dxa"/>
              <w:right w:w="120" w:type="dxa"/>
            </w:tcMar>
          </w:tcPr>
          <w:p w:rsidR="006970F4" w:rsidRDefault="00000000" w14:paraId="6BEF8C15" w14:textId="77777777">
            <w:r>
              <w:rPr>
                <w:b/>
                <w:bCs/>
                <w:color w:val="55606B"/>
              </w:rPr>
              <w:t>Freshman</w:t>
            </w:r>
          </w:p>
        </w:tc>
        <w:tc>
          <w:tcPr>
            <w:tcW w:w="9780" w:type="dxa"/>
            <w:shd w:val="clear" w:color="auto" w:fill="E7E9EC"/>
            <w:tcMar>
              <w:top w:w="60" w:type="dxa"/>
              <w:left w:w="160" w:type="dxa"/>
              <w:bottom w:w="60" w:type="dxa"/>
              <w:right w:w="160" w:type="dxa"/>
            </w:tcMar>
          </w:tcPr>
          <w:p w:rsidR="006970F4" w:rsidRDefault="00000000" w14:paraId="5FDDF53E" w14:textId="77777777">
            <w:pPr>
              <w:spacing w:after="25"/>
            </w:pPr>
            <w:r>
              <w:rPr>
                <w:b/>
                <w:bCs/>
                <w:color w:val="222222"/>
              </w:rPr>
              <w:t xml:space="preserve">Who: </w:t>
            </w:r>
            <w:r>
              <w:rPr>
                <w:color w:val="222222"/>
              </w:rPr>
              <w:t>Hilleman Scholar Peer Mentors.</w:t>
            </w:r>
          </w:p>
          <w:p w:rsidR="006970F4" w:rsidRDefault="00000000" w14:paraId="61162FDA" w14:textId="77777777">
            <w:pPr>
              <w:spacing w:after="25"/>
            </w:pPr>
            <w:r>
              <w:rPr>
                <w:b/>
                <w:bCs/>
                <w:color w:val="222222"/>
              </w:rPr>
              <w:t xml:space="preserve">What: </w:t>
            </w:r>
            <w:r>
              <w:rPr>
                <w:color w:val="222222"/>
              </w:rPr>
              <w:t>Mentoring for SSA and academic year transition.</w:t>
            </w:r>
          </w:p>
          <w:p w:rsidR="006970F4" w:rsidRDefault="00000000" w14:paraId="2B36A05A" w14:textId="77777777">
            <w:pPr>
              <w:spacing w:after="25"/>
            </w:pPr>
            <w:r>
              <w:rPr>
                <w:b/>
                <w:bCs/>
                <w:color w:val="222222"/>
              </w:rPr>
              <w:t xml:space="preserve">Why: </w:t>
            </w:r>
            <w:r>
              <w:rPr>
                <w:color w:val="222222"/>
              </w:rPr>
              <w:t>Freshman respond well to near peers.</w:t>
            </w:r>
          </w:p>
        </w:tc>
      </w:tr>
      <w:tr w:rsidR="006970F4" w:rsidTr="5B19FFEB" w14:paraId="34A4CC08" w14:textId="77777777">
        <w:tc>
          <w:tcPr>
            <w:tcW w:w="1500" w:type="dxa"/>
            <w:tcMar>
              <w:top w:w="60" w:type="dxa"/>
              <w:left w:w="160" w:type="dxa"/>
              <w:bottom w:w="60" w:type="dxa"/>
              <w:right w:w="120" w:type="dxa"/>
            </w:tcMar>
          </w:tcPr>
          <w:p w:rsidR="006970F4" w:rsidRDefault="00000000" w14:paraId="7E2F7ACD" w14:textId="77777777">
            <w:r>
              <w:rPr>
                <w:b/>
                <w:bCs/>
                <w:color w:val="55606B"/>
              </w:rPr>
              <w:t>Soph–Jr</w:t>
            </w:r>
          </w:p>
        </w:tc>
        <w:tc>
          <w:tcPr>
            <w:tcW w:w="9780" w:type="dxa"/>
            <w:shd w:val="clear" w:color="auto" w:fill="E7E9EC"/>
            <w:tcMar>
              <w:top w:w="60" w:type="dxa"/>
              <w:left w:w="160" w:type="dxa"/>
              <w:bottom w:w="60" w:type="dxa"/>
              <w:right w:w="160" w:type="dxa"/>
            </w:tcMar>
          </w:tcPr>
          <w:p w:rsidR="006970F4" w:rsidRDefault="00000000" w14:paraId="7E870248" w14:textId="77777777">
            <w:pPr>
              <w:spacing w:after="25"/>
            </w:pPr>
            <w:r>
              <w:rPr>
                <w:b/>
                <w:bCs/>
                <w:color w:val="222222"/>
              </w:rPr>
              <w:t xml:space="preserve">Who: </w:t>
            </w:r>
            <w:r>
              <w:rPr>
                <w:color w:val="222222"/>
              </w:rPr>
              <w:t>Near Peer Mentors - Senior Hilleman Scholars.</w:t>
            </w:r>
          </w:p>
          <w:p w:rsidR="006970F4" w:rsidP="70308F3D" w:rsidRDefault="00000000" w14:paraId="1C6F6F15" w14:textId="0287C020">
            <w:pPr>
              <w:spacing w:after="25"/>
              <w:rPr>
                <w:color w:val="222222"/>
              </w:rPr>
            </w:pPr>
            <w:r>
              <w:rPr>
                <w:b w:val="1"/>
                <w:bCs w:val="1"/>
                <w:color w:val="222222"/>
              </w:rPr>
              <w:t xml:space="preserve">What: </w:t>
            </w:r>
            <w:r>
              <w:rPr>
                <w:color w:val="222222"/>
              </w:rPr>
              <w:t xml:space="preserve">Providing near peer mentoring for both college and internship/research engagement.</w:t>
            </w:r>
          </w:p>
          <w:p w:rsidR="006970F4" w:rsidRDefault="00000000" w14:paraId="7A0533E5" w14:textId="71296AAF">
            <w:pPr>
              <w:spacing w:after="25"/>
            </w:pPr>
            <w:r>
              <w:rPr>
                <w:b w:val="1"/>
                <w:bCs w:val="1"/>
                <w:color w:val="222222"/>
              </w:rPr>
              <w:t xml:space="preserve">Why: </w:t>
            </w:r>
            <w:r>
              <w:rPr>
                <w:color w:val="222222"/>
              </w:rPr>
              <w:t xml:space="preserve">Peers respond well to near peers, and teaching Upperclassmen how to mentor.</w:t>
            </w:r>
          </w:p>
        </w:tc>
      </w:tr>
    </w:tbl>
    <w:p w:rsidR="006970F4" w:rsidRDefault="006970F4" w14:paraId="313421B4" w14:textId="77777777">
      <w:pPr>
        <w:spacing w:after="25"/>
      </w:pPr>
    </w:p>
    <w:tbl>
      <w:tblPr>
        <w:tblW w:w="112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500"/>
        <w:gridCol w:w="9780"/>
      </w:tblGrid>
      <w:tr w:rsidR="006970F4" w14:paraId="1D83AC1E" w14:textId="77777777">
        <w:tc>
          <w:tcPr>
            <w:tcW w:w="11280" w:type="dxa"/>
            <w:gridSpan w:val="2"/>
            <w:shd w:val="clear" w:color="auto" w:fill="1B3A5C"/>
            <w:tcMar>
              <w:top w:w="60" w:type="dxa"/>
              <w:left w:w="180" w:type="dxa"/>
              <w:bottom w:w="60" w:type="dxa"/>
              <w:right w:w="180" w:type="dxa"/>
            </w:tcMar>
          </w:tcPr>
          <w:p w:rsidR="006970F4" w:rsidRDefault="00000000" w14:paraId="37FDC537" w14:textId="77777777">
            <w:r>
              <w:rPr>
                <w:b/>
                <w:bCs/>
                <w:color w:val="FFFFFF"/>
                <w:sz w:val="24"/>
                <w:szCs w:val="24"/>
              </w:rPr>
              <w:t>RISE Mentors (Resilience, Integration, Support, Engagement)</w:t>
            </w:r>
          </w:p>
        </w:tc>
      </w:tr>
      <w:tr w:rsidR="006970F4" w14:paraId="6288F74D" w14:textId="77777777">
        <w:tc>
          <w:tcPr>
            <w:tcW w:w="1500" w:type="dxa"/>
            <w:tcMar>
              <w:top w:w="60" w:type="dxa"/>
              <w:left w:w="160" w:type="dxa"/>
              <w:bottom w:w="60" w:type="dxa"/>
              <w:right w:w="120" w:type="dxa"/>
            </w:tcMar>
          </w:tcPr>
          <w:p w:rsidR="006970F4" w:rsidRDefault="00000000" w14:paraId="5F6ECC45" w14:textId="77777777">
            <w:r>
              <w:rPr>
                <w:b/>
                <w:bCs/>
                <w:color w:val="1B3A5C"/>
              </w:rPr>
              <w:t>Freshman</w:t>
            </w:r>
          </w:p>
        </w:tc>
        <w:tc>
          <w:tcPr>
            <w:tcW w:w="9780" w:type="dxa"/>
            <w:shd w:val="clear" w:color="auto" w:fill="DCE6F0"/>
            <w:tcMar>
              <w:top w:w="60" w:type="dxa"/>
              <w:left w:w="160" w:type="dxa"/>
              <w:bottom w:w="60" w:type="dxa"/>
              <w:right w:w="160" w:type="dxa"/>
            </w:tcMar>
          </w:tcPr>
          <w:p w:rsidR="006970F4" w:rsidRDefault="00000000" w14:paraId="389F56F2" w14:textId="77777777">
            <w:pPr>
              <w:spacing w:after="25"/>
            </w:pPr>
            <w:r>
              <w:rPr>
                <w:b/>
                <w:bCs/>
                <w:color w:val="222222"/>
              </w:rPr>
              <w:t xml:space="preserve">Who: </w:t>
            </w:r>
            <w:r>
              <w:rPr>
                <w:color w:val="222222"/>
              </w:rPr>
              <w:t>Volunteer adult guides who walk alongside a pod of 5–10 incoming Hilleman Scholars through the high school-to-college transition.</w:t>
            </w:r>
          </w:p>
          <w:p w:rsidR="006970F4" w:rsidRDefault="00000000" w14:paraId="53D7609F" w14:textId="77777777">
            <w:pPr>
              <w:spacing w:after="25"/>
            </w:pPr>
            <w:r>
              <w:rPr>
                <w:b/>
                <w:bCs/>
                <w:color w:val="222222"/>
              </w:rPr>
              <w:t xml:space="preserve">What: </w:t>
            </w:r>
            <w:r>
              <w:rPr>
                <w:color w:val="222222"/>
              </w:rPr>
              <w:t>Offer informal check-ins, celebrate wins, and show up when life feels hard.</w:t>
            </w:r>
          </w:p>
          <w:p w:rsidR="006970F4" w:rsidRDefault="00000000" w14:paraId="08A2A462" w14:textId="77777777">
            <w:pPr>
              <w:spacing w:after="25"/>
            </w:pPr>
            <w:r>
              <w:rPr>
                <w:b/>
                <w:bCs/>
                <w:color w:val="222222"/>
              </w:rPr>
              <w:t xml:space="preserve">Why: </w:t>
            </w:r>
            <w:r>
              <w:rPr>
                <w:color w:val="222222"/>
              </w:rPr>
              <w:t>Consistent, trusted presence that makes sure no scholar feels alone as they find their footing.</w:t>
            </w:r>
          </w:p>
        </w:tc>
      </w:tr>
    </w:tbl>
    <w:p w:rsidR="006970F4" w:rsidRDefault="006970F4" w14:paraId="3B842B8D" w14:textId="77777777">
      <w:pPr>
        <w:spacing w:after="25"/>
      </w:pPr>
    </w:p>
    <w:tbl>
      <w:tblPr>
        <w:tblW w:w="112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500"/>
        <w:gridCol w:w="9780"/>
      </w:tblGrid>
      <w:tr w:rsidR="006970F4" w:rsidTr="20E69A17" w14:paraId="63429F99" w14:textId="77777777">
        <w:tc>
          <w:tcPr>
            <w:tcW w:w="11280" w:type="dxa"/>
            <w:gridSpan w:val="2"/>
            <w:shd w:val="clear" w:color="auto" w:fill="1B3A5C"/>
            <w:tcMar>
              <w:top w:w="60" w:type="dxa"/>
              <w:left w:w="180" w:type="dxa"/>
              <w:bottom w:w="60" w:type="dxa"/>
              <w:right w:w="180" w:type="dxa"/>
            </w:tcMar>
          </w:tcPr>
          <w:p w:rsidR="006970F4" w:rsidRDefault="00000000" w14:paraId="58878D3F" w14:textId="77777777">
            <w:r>
              <w:rPr>
                <w:b/>
                <w:bCs/>
                <w:color w:val="FFFFFF"/>
                <w:sz w:val="24"/>
                <w:szCs w:val="24"/>
              </w:rPr>
              <w:t>PAIR Mentors (Profession Aligned Industry Resource)</w:t>
            </w:r>
          </w:p>
        </w:tc>
      </w:tr>
      <w:tr w:rsidR="006970F4" w:rsidTr="20E69A17" w14:paraId="11B1B966" w14:textId="77777777">
        <w:tc>
          <w:tcPr>
            <w:tcW w:w="1500" w:type="dxa"/>
            <w:tcMar>
              <w:top w:w="60" w:type="dxa"/>
              <w:left w:w="160" w:type="dxa"/>
              <w:bottom w:w="60" w:type="dxa"/>
              <w:right w:w="120" w:type="dxa"/>
            </w:tcMar>
          </w:tcPr>
          <w:p w:rsidR="006970F4" w:rsidRDefault="00405628" w14:paraId="0DF19823" w14:textId="3BB55916">
            <w:r>
              <w:t>Collegian &amp; Alumni</w:t>
            </w:r>
          </w:p>
        </w:tc>
        <w:tc>
          <w:tcPr>
            <w:tcW w:w="9780" w:type="dxa"/>
            <w:shd w:val="clear" w:color="auto" w:fill="DCE6F0"/>
            <w:tcMar>
              <w:top w:w="60" w:type="dxa"/>
              <w:left w:w="160" w:type="dxa"/>
              <w:bottom w:w="60" w:type="dxa"/>
              <w:right w:w="160" w:type="dxa"/>
            </w:tcMar>
          </w:tcPr>
          <w:p w:rsidR="006970F4" w:rsidRDefault="00000000" w14:paraId="08662B3E" w14:textId="71A89899">
            <w:pPr>
              <w:spacing w:after="25"/>
            </w:pPr>
            <w:r>
              <w:rPr>
                <w:b/>
                <w:bCs/>
                <w:color w:val="222222"/>
              </w:rPr>
              <w:t xml:space="preserve">Who: </w:t>
            </w:r>
            <w:r>
              <w:rPr>
                <w:color w:val="222222"/>
              </w:rPr>
              <w:t>Volunteer professionals matched 1:1 with a scholar based on shared degree, career path, or other interest.</w:t>
            </w:r>
          </w:p>
          <w:p w:rsidR="006970F4" w:rsidRDefault="00000000" w14:paraId="5295A9A9" w14:textId="7511B629">
            <w:pPr>
              <w:spacing w:after="25"/>
            </w:pPr>
            <w:r>
              <w:rPr>
                <w:b w:val="1"/>
                <w:bCs w:val="1"/>
                <w:color w:val="222222"/>
              </w:rPr>
              <w:t xml:space="preserve">What: </w:t>
            </w:r>
            <w:r>
              <w:rPr>
                <w:color w:val="222222"/>
              </w:rPr>
              <w:t xml:space="preserve">A focused, one-on-one relationship centered on the Scholar's exit strategy, preparing them to graduate and successfully move to the next step of career and community. Activated by student request, your applied life experience will enrich Scholars.</w:t>
            </w:r>
          </w:p>
          <w:p w:rsidR="006970F4" w:rsidRDefault="00000000" w14:paraId="529AA4D1" w14:textId="33AF29C1">
            <w:pPr>
              <w:spacing w:after="25"/>
            </w:pPr>
            <w:r>
              <w:rPr>
                <w:b w:val="1"/>
                <w:bCs w:val="1"/>
                <w:color w:val="222222"/>
              </w:rPr>
              <w:t xml:space="preserve">Why: </w:t>
            </w:r>
            <w:r>
              <w:rPr>
                <w:color w:val="222222"/>
              </w:rPr>
              <w:t xml:space="preserve">Scholars need real networks and an exit plan as they transition out of college. A steady, real-world connection helps that feel possible before graduation. Build the relationship in college and extend it beyond graduation, ensuring every Scholar leaves equipped to successfully move to the next step.</w:t>
            </w:r>
          </w:p>
        </w:tc>
      </w:tr>
    </w:tbl>
    <w:p w:rsidR="006970F4" w:rsidRDefault="006970F4" w14:paraId="6A223EDE" w14:textId="77777777">
      <w:pPr>
        <w:spacing w:after="25"/>
      </w:pPr>
    </w:p>
    <w:tbl>
      <w:tblPr>
        <w:tblW w:w="11280" w:type="dxa"/>
        <w:tblBorders>
          <w:top w:val="double" w:color="C79A3B" w:sz="10" w:space="0"/>
          <w:left w:val="double" w:color="C79A3B" w:sz="10" w:space="0"/>
          <w:bottom w:val="double" w:color="C79A3B" w:sz="10" w:space="0"/>
          <w:right w:val="double" w:color="C79A3B" w:sz="10"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11280"/>
      </w:tblGrid>
      <w:tr w:rsidR="006970F4" w:rsidTr="20E69A17" w14:paraId="691E91EE" w14:textId="77777777">
        <w:tc>
          <w:tcPr>
            <w:tcW w:w="11280" w:type="dxa"/>
            <w:shd w:val="clear" w:color="auto" w:fill="FBF0D9"/>
            <w:tcMar>
              <w:top w:w="60" w:type="dxa"/>
              <w:left w:w="220" w:type="dxa"/>
              <w:bottom w:w="60" w:type="dxa"/>
              <w:right w:w="220" w:type="dxa"/>
            </w:tcMar>
          </w:tcPr>
          <w:p w:rsidR="006970F4" w:rsidRDefault="00000000" w14:paraId="3ED2A90F" w14:textId="77777777">
            <w:pPr>
              <w:spacing w:after="25"/>
              <w:jc w:val="center"/>
            </w:pPr>
            <w:r>
              <w:rPr>
                <w:b/>
                <w:bCs/>
                <w:color w:val="C79A3B"/>
                <w:sz w:val="24"/>
                <w:szCs w:val="24"/>
              </w:rPr>
              <w:t xml:space="preserve">✦  Classroom Career Integration (Soph–Sr)  ✦</w:t>
            </w:r>
          </w:p>
          <w:p w:rsidR="006970F4" w:rsidRDefault="00000000" w14:paraId="32AC7932" w14:textId="77777777">
            <w:pPr>
              <w:spacing w:after="50"/>
              <w:jc w:val="center"/>
            </w:pPr>
            <w:r>
              <w:rPr>
                <w:i/>
                <w:iCs/>
                <w:color w:val="8A6D2C"/>
                <w:sz w:val="18"/>
                <w:szCs w:val="18"/>
              </w:rPr>
              <w:t>Not a separate mentor pool — a shared touchpoint where RISE and PAIR mentors extend their impact into the classroom.</w:t>
            </w:r>
          </w:p>
          <w:tbl>
            <w:tblPr>
              <w:tblW w:w="1084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left w:w="10" w:type="dxa"/>
                <w:right w:w="10" w:type="dxa"/>
              </w:tblCellMar>
              <w:tblLook w:val="04A0" w:firstRow="1" w:lastRow="0" w:firstColumn="1" w:lastColumn="0" w:noHBand="0" w:noVBand="1"/>
            </w:tblPr>
            <w:tblGrid>
              <w:gridCol w:w="1970"/>
              <w:gridCol w:w="8870"/>
            </w:tblGrid>
            <w:tr w:rsidR="006970F4" w:rsidTr="20E69A17" w14:paraId="44EE3542" w14:textId="77777777">
              <w:tc>
                <w:tcPr>
                  <w:tcW w:w="1350" w:type="dxa"/>
                  <w:tcMar>
                    <w:top w:w="40" w:type="dxa"/>
                    <w:left w:w="160" w:type="dxa"/>
                    <w:bottom w:w="40" w:type="dxa"/>
                    <w:right w:w="160" w:type="dxa"/>
                  </w:tcMar>
                  <w:vAlign w:val="center"/>
                </w:tcPr>
                <w:p w:rsidR="006970F4" w:rsidRDefault="00000000" w14:paraId="1DB2375A" w14:textId="77777777">
                  <w:pPr>
                    <w:jc w:val="center"/>
                  </w:pPr>
                  <w:r>
                    <w:rPr>
                      <w:noProof/>
                    </w:rPr>
                    <w:drawing>
                      <wp:inline distT="0" distB="0" distL="0" distR="0" wp14:anchorId="63C12645" wp14:editId="03E5FF0F">
                        <wp:extent cx="1047750" cy="342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047750" cy="342900"/>
                                </a:xfrm>
                                <a:prstGeom prst="rect">
                                  <a:avLst/>
                                </a:prstGeom>
                              </pic:spPr>
                            </pic:pic>
                          </a:graphicData>
                        </a:graphic>
                      </wp:inline>
                    </w:drawing>
                  </w:r>
                </w:p>
              </w:tc>
              <w:tc>
                <w:tcPr>
                  <w:tcW w:w="9490" w:type="dxa"/>
                  <w:shd w:val="clear" w:color="auto" w:fill="FFFFFF" w:themeFill="background1"/>
                  <w:tcMar>
                    <w:top w:w="40" w:type="dxa"/>
                    <w:left w:w="200" w:type="dxa"/>
                    <w:bottom w:w="40" w:type="dxa"/>
                    <w:right w:w="100" w:type="dxa"/>
                  </w:tcMar>
                  <w:vAlign w:val="center"/>
                </w:tcPr>
                <w:p w:rsidR="006970F4" w:rsidRDefault="00000000" w14:paraId="59023669" w14:textId="3AD56C08">
                  <w:r>
                    <w:rPr>
                      <w:color w:val="222222"/>
                    </w:rPr>
                    <w:t xml:space="preserve">Drawn from RISE and PAIR mentor pools — no separate volunteer group. A mentor can choose to opt in or out of this when applying.</w:t>
                  </w:r>
                </w:p>
              </w:tc>
            </w:tr>
          </w:tbl>
          <w:p w:rsidR="006970F4" w:rsidRDefault="006970F4" w14:paraId="017DFA06" w14:textId="77777777">
            <w:pPr>
              <w:spacing w:after="15"/>
            </w:pPr>
          </w:p>
          <w:tbl>
            <w:tblPr>
              <w:tblW w:w="1084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left w:w="10" w:type="dxa"/>
                <w:right w:w="10" w:type="dxa"/>
              </w:tblCellMar>
              <w:tblLook w:val="04A0" w:firstRow="1" w:lastRow="0" w:firstColumn="1" w:lastColumn="0" w:noHBand="0" w:noVBand="1"/>
            </w:tblPr>
            <w:tblGrid>
              <w:gridCol w:w="1970"/>
              <w:gridCol w:w="8870"/>
            </w:tblGrid>
            <w:tr w:rsidR="006970F4" w:rsidTr="70308F3D" w14:paraId="4BE57C2B" w14:textId="77777777">
              <w:tc>
                <w:tcPr>
                  <w:tcW w:w="1350" w:type="dxa"/>
                  <w:tcMar>
                    <w:top w:w="40" w:type="dxa"/>
                    <w:left w:w="160" w:type="dxa"/>
                    <w:bottom w:w="40" w:type="dxa"/>
                    <w:right w:w="160" w:type="dxa"/>
                  </w:tcMar>
                  <w:vAlign w:val="center"/>
                </w:tcPr>
                <w:p w:rsidR="006970F4" w:rsidRDefault="00000000" w14:paraId="58ED71E0" w14:textId="77777777">
                  <w:pPr>
                    <w:jc w:val="center"/>
                  </w:pPr>
                  <w:r>
                    <w:rPr>
                      <w:noProof/>
                    </w:rPr>
                    <w:drawing>
                      <wp:inline distT="0" distB="0" distL="0" distR="0" wp14:anchorId="29769BB2" wp14:editId="463FCCD0">
                        <wp:extent cx="1047750" cy="342900"/>
                        <wp:effectExtent l="0" t="0" r="0" b="0"/>
                        <wp:docPr id="2116427466" name="Picture 2116427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1047750" cy="342900"/>
                                </a:xfrm>
                                <a:prstGeom prst="rect">
                                  <a:avLst/>
                                </a:prstGeom>
                              </pic:spPr>
                            </pic:pic>
                          </a:graphicData>
                        </a:graphic>
                      </wp:inline>
                    </w:drawing>
                  </w:r>
                </w:p>
              </w:tc>
              <w:tc>
                <w:tcPr>
                  <w:tcW w:w="9490" w:type="dxa"/>
                  <w:shd w:val="clear" w:color="auto" w:fill="FFFFFF" w:themeFill="background1"/>
                  <w:tcMar>
                    <w:top w:w="40" w:type="dxa"/>
                    <w:left w:w="200" w:type="dxa"/>
                    <w:bottom w:w="40" w:type="dxa"/>
                    <w:right w:w="100" w:type="dxa"/>
                  </w:tcMar>
                  <w:vAlign w:val="center"/>
                </w:tcPr>
                <w:p w:rsidR="006970F4" w:rsidP="70308F3D" w:rsidRDefault="00000000" w14:paraId="283672F9" w14:textId="506099E1">
                  <w:pPr>
                    <w:pStyle w:val="Normal"/>
                  </w:pPr>
                  <w:r>
                    <w:rPr>
                      <w:rFonts w:ascii="Times New Roman" w:hAnsi="Times New Roman" w:eastAsia="Times New Roman" w:cs="Times New Roman"/>
                      <w:noProof w:val="0"/>
                      <w:sz w:val="20"/>
                      <w:szCs w:val="20"/>
                      <w:lang w:val="en-US"/>
                    </w:rPr>
                    <w:t>Leadership development, durable skill-building, industry exposure, resilience through change, way-finding and mindset support, and navigating the transition from college to post-graduation life, integrated directly into the Monday 4pm class sessions and aligned with course curriculum.</w:t>
                  </w:r>
                </w:p>
              </w:tc>
            </w:tr>
          </w:tbl>
          <w:p w:rsidR="006970F4" w:rsidRDefault="006970F4" w14:paraId="3DD962ED" w14:textId="77777777">
            <w:pPr>
              <w:spacing w:after="15"/>
            </w:pPr>
          </w:p>
          <w:tbl>
            <w:tblPr>
              <w:tblW w:w="10840" w:type="dxa"/>
              <w:tblBorders>
                <w:top w:val="none" w:color="FFFFFF" w:sz="0" w:space="0"/>
                <w:left w:val="none" w:color="FFFFFF" w:sz="0" w:space="0"/>
                <w:bottom w:val="none" w:color="FFFFFF" w:sz="0" w:space="0"/>
                <w:right w:val="none" w:color="FFFFFF" w:sz="0" w:space="0"/>
                <w:insideH w:val="none" w:color="FFFFFF" w:sz="0" w:space="0"/>
                <w:insideV w:val="none" w:color="FFFFFF" w:sz="0" w:space="0"/>
              </w:tblBorders>
              <w:tblCellMar>
                <w:left w:w="10" w:type="dxa"/>
                <w:right w:w="10" w:type="dxa"/>
              </w:tblCellMar>
              <w:tblLook w:val="04A0" w:firstRow="1" w:lastRow="0" w:firstColumn="1" w:lastColumn="0" w:noHBand="0" w:noVBand="1"/>
            </w:tblPr>
            <w:tblGrid>
              <w:gridCol w:w="1970"/>
              <w:gridCol w:w="8870"/>
            </w:tblGrid>
            <w:tr w:rsidR="006970F4" w:rsidTr="5B19FFEB" w14:paraId="6E9E0FED" w14:textId="77777777">
              <w:tc>
                <w:tcPr>
                  <w:tcW w:w="1350" w:type="dxa"/>
                  <w:tcMar>
                    <w:top w:w="40" w:type="dxa"/>
                    <w:left w:w="160" w:type="dxa"/>
                    <w:bottom w:w="40" w:type="dxa"/>
                    <w:right w:w="160" w:type="dxa"/>
                  </w:tcMar>
                  <w:vAlign w:val="center"/>
                </w:tcPr>
                <w:p w:rsidR="006970F4" w:rsidRDefault="00000000" w14:paraId="57B4E7C0" w14:textId="77777777">
                  <w:pPr>
                    <w:jc w:val="center"/>
                  </w:pPr>
                  <w:r>
                    <w:rPr>
                      <w:noProof/>
                    </w:rPr>
                    <w:drawing>
                      <wp:inline distT="0" distB="0" distL="0" distR="0" wp14:anchorId="18A1168A" wp14:editId="76EA70D7">
                        <wp:extent cx="1047750" cy="342900"/>
                        <wp:effectExtent l="0" t="0" r="0" b="0"/>
                        <wp:docPr id="1746838895" name="Picture 1746838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047750" cy="342900"/>
                                </a:xfrm>
                                <a:prstGeom prst="rect">
                                  <a:avLst/>
                                </a:prstGeom>
                              </pic:spPr>
                            </pic:pic>
                          </a:graphicData>
                        </a:graphic>
                      </wp:inline>
                    </w:drawing>
                  </w:r>
                </w:p>
              </w:tc>
              <w:tc>
                <w:tcPr>
                  <w:tcW w:w="9490" w:type="dxa"/>
                  <w:shd w:val="clear" w:color="auto" w:fill="FFFFFF" w:themeFill="background1"/>
                  <w:tcMar>
                    <w:top w:w="40" w:type="dxa"/>
                    <w:left w:w="200" w:type="dxa"/>
                    <w:bottom w:w="40" w:type="dxa"/>
                    <w:right w:w="100" w:type="dxa"/>
                  </w:tcMar>
                  <w:vAlign w:val="center"/>
                </w:tcPr>
                <w:p w:rsidR="006970F4" w:rsidP="70308F3D" w:rsidRDefault="00000000" w14:paraId="522B9FCB" w14:textId="6DA548C5">
                  <w:pPr>
                    <w:pStyle w:val="Normal"/>
                  </w:pPr>
                  <w:r>
                    <w:rPr>
                      <w:rFonts w:ascii="Times New Roman" w:hAnsi="Times New Roman" w:eastAsia="Times New Roman" w:cs="Times New Roman"/>
                      <w:noProof w:val="0"/>
                      <w:sz w:val="20"/>
                      <w:szCs w:val="20"/>
                      <w:lang w:val="en-US"/>
                    </w:rPr>
                    <w:t xml:space="preserve">Weaves leadership, durable skills, and real-world perspective into the Scholar experience, building the foundation Scholars need to navigate change, shape a successful exit strategy, and confidently launch into life after college.</w:t>
                  </w:r>
                </w:p>
              </w:tc>
            </w:tr>
          </w:tbl>
          <w:p w:rsidR="006970F4" w:rsidRDefault="006970F4" w14:paraId="40D5E77E" w14:textId="77777777"/>
        </w:tc>
      </w:tr>
    </w:tbl>
    <w:p w:rsidR="006970F4" w:rsidRDefault="006970F4" w14:paraId="54D14A66" w14:textId="77777777">
      <w:pPr>
        <w:spacing w:after="15"/>
      </w:pPr>
    </w:p>
    <w:tbl>
      <w:tblPr>
        <w:tblW w:w="1128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left w:w="10" w:type="dxa"/>
          <w:right w:w="10" w:type="dxa"/>
        </w:tblCellMar>
        <w:tblLook w:val="04A0" w:firstRow="1" w:lastRow="0" w:firstColumn="1" w:lastColumn="0" w:noHBand="0" w:noVBand="1"/>
      </w:tblPr>
      <w:tblGrid>
        <w:gridCol w:w="3400"/>
        <w:gridCol w:w="540"/>
        <w:gridCol w:w="3400"/>
        <w:gridCol w:w="540"/>
        <w:gridCol w:w="3400"/>
      </w:tblGrid>
      <w:tr w:rsidR="006970F4" w14:paraId="3E8D5E40" w14:textId="77777777">
        <w:tc>
          <w:tcPr>
            <w:tcW w:w="3400" w:type="dxa"/>
            <w:shd w:val="clear" w:color="auto" w:fill="1B3A5C"/>
            <w:tcMar>
              <w:top w:w="50" w:type="dxa"/>
              <w:left w:w="120" w:type="dxa"/>
              <w:bottom w:w="50" w:type="dxa"/>
              <w:right w:w="120" w:type="dxa"/>
            </w:tcMar>
          </w:tcPr>
          <w:p w:rsidR="006970F4" w:rsidRDefault="00000000" w14:paraId="7C201D51" w14:textId="77777777">
            <w:pPr>
              <w:jc w:val="center"/>
            </w:pPr>
            <w:r>
              <w:rPr>
                <w:b/>
                <w:bCs/>
                <w:color w:val="FFFFFF"/>
                <w:sz w:val="22"/>
                <w:szCs w:val="22"/>
              </w:rPr>
              <w:t>Rise Up</w:t>
            </w:r>
          </w:p>
        </w:tc>
        <w:tc>
          <w:tcPr>
            <w:tcW w:w="540" w:type="dxa"/>
            <w:shd w:val="clear" w:color="auto" w:fill="FFFFFF"/>
            <w:tcMar>
              <w:top w:w="50" w:type="dxa"/>
              <w:left w:w="40" w:type="dxa"/>
              <w:bottom w:w="50" w:type="dxa"/>
              <w:right w:w="40" w:type="dxa"/>
            </w:tcMar>
          </w:tcPr>
          <w:p w:rsidR="006970F4" w:rsidRDefault="00000000" w14:paraId="7711ACB3" w14:textId="77777777">
            <w:pPr>
              <w:jc w:val="center"/>
            </w:pPr>
            <w:r>
              <w:rPr>
                <w:b/>
                <w:bCs/>
                <w:color w:val="55606B"/>
                <w:sz w:val="22"/>
                <w:szCs w:val="22"/>
              </w:rPr>
              <w:t>→</w:t>
            </w:r>
          </w:p>
        </w:tc>
        <w:tc>
          <w:tcPr>
            <w:tcW w:w="3400" w:type="dxa"/>
            <w:shd w:val="clear" w:color="auto" w:fill="C79A3B"/>
            <w:tcMar>
              <w:top w:w="50" w:type="dxa"/>
              <w:left w:w="120" w:type="dxa"/>
              <w:bottom w:w="50" w:type="dxa"/>
              <w:right w:w="120" w:type="dxa"/>
            </w:tcMar>
          </w:tcPr>
          <w:p w:rsidR="006970F4" w:rsidRDefault="00000000" w14:paraId="7C1B4E01" w14:textId="77777777">
            <w:pPr>
              <w:jc w:val="center"/>
            </w:pPr>
            <w:r>
              <w:rPr>
                <w:b/>
                <w:bCs/>
                <w:color w:val="FFFFFF"/>
                <w:sz w:val="22"/>
                <w:szCs w:val="22"/>
              </w:rPr>
              <w:t>Grow Forward</w:t>
            </w:r>
          </w:p>
        </w:tc>
        <w:tc>
          <w:tcPr>
            <w:tcW w:w="540" w:type="dxa"/>
            <w:shd w:val="clear" w:color="auto" w:fill="FFFFFF"/>
            <w:tcMar>
              <w:top w:w="50" w:type="dxa"/>
              <w:left w:w="40" w:type="dxa"/>
              <w:bottom w:w="50" w:type="dxa"/>
              <w:right w:w="40" w:type="dxa"/>
            </w:tcMar>
          </w:tcPr>
          <w:p w:rsidR="006970F4" w:rsidRDefault="00000000" w14:paraId="7711ACB4" w14:textId="77777777">
            <w:pPr>
              <w:jc w:val="center"/>
            </w:pPr>
            <w:r>
              <w:rPr>
                <w:b/>
                <w:bCs/>
                <w:color w:val="55606B"/>
                <w:sz w:val="22"/>
                <w:szCs w:val="22"/>
              </w:rPr>
              <w:t>→</w:t>
            </w:r>
          </w:p>
        </w:tc>
        <w:tc>
          <w:tcPr>
            <w:tcW w:w="3400" w:type="dxa"/>
            <w:shd w:val="clear" w:color="auto" w:fill="55606B"/>
            <w:tcMar>
              <w:top w:w="50" w:type="dxa"/>
              <w:left w:w="120" w:type="dxa"/>
              <w:bottom w:w="50" w:type="dxa"/>
              <w:right w:w="120" w:type="dxa"/>
            </w:tcMar>
          </w:tcPr>
          <w:p w:rsidR="006970F4" w:rsidRDefault="00000000" w14:paraId="7C1B4E07" w14:textId="77777777">
            <w:pPr>
              <w:jc w:val="center"/>
            </w:pPr>
            <w:r>
              <w:rPr>
                <w:b/>
                <w:bCs/>
                <w:color w:val="FFFFFF"/>
                <w:sz w:val="22"/>
                <w:szCs w:val="22"/>
              </w:rPr>
              <w:t>Pair with Real-World Experience</w:t>
            </w:r>
          </w:p>
        </w:tc>
      </w:tr>
    </w:tbl>
    <w:p w:rsidR="006970F4" w:rsidRDefault="00000000" w14:paraId="506592E4" w14:textId="77777777">
      <w:pPr>
        <w:spacing w:before="40"/>
        <w:jc w:val="center"/>
      </w:pPr>
      <w:r>
        <w:rPr>
          <w:i/>
          <w:iCs/>
          <w:color w:val="888888"/>
          <w:sz w:val="18"/>
          <w:szCs w:val="18"/>
        </w:rPr>
        <w:t xml:space="preserve">Hilleman Scholars Program  ·  Montana State University</w:t>
      </w:r>
    </w:p>
    <w:sectPr w:rsidR="006970F4">
      <w:pgSz w:w="12240" w:h="15840" w:orient="portrait"/>
      <w:pgMar w:top="480" w:right="480" w:bottom="480" w:left="4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DB3596C"/>
    <w:multiLevelType w:val="hybridMultilevel"/>
    <w:tmpl w:val="823CBFBA"/>
    <w:lvl w:ilvl="0" w:tplc="B62AF7EC">
      <w:start w:val="1"/>
      <w:numFmt w:val="bullet"/>
      <w:lvlText w:val="●"/>
      <w:lvlJc w:val="left"/>
      <w:pPr>
        <w:ind w:left="720" w:hanging="360"/>
      </w:pPr>
    </w:lvl>
    <w:lvl w:ilvl="1" w:tplc="E362B406">
      <w:start w:val="1"/>
      <w:numFmt w:val="bullet"/>
      <w:lvlText w:val="○"/>
      <w:lvlJc w:val="left"/>
      <w:pPr>
        <w:ind w:left="1440" w:hanging="360"/>
      </w:pPr>
    </w:lvl>
    <w:lvl w:ilvl="2" w:tplc="C90C5636">
      <w:start w:val="1"/>
      <w:numFmt w:val="bullet"/>
      <w:lvlText w:val="■"/>
      <w:lvlJc w:val="left"/>
      <w:pPr>
        <w:ind w:left="2160" w:hanging="360"/>
      </w:pPr>
    </w:lvl>
    <w:lvl w:ilvl="3" w:tplc="D25CC57C">
      <w:start w:val="1"/>
      <w:numFmt w:val="bullet"/>
      <w:lvlText w:val="●"/>
      <w:lvlJc w:val="left"/>
      <w:pPr>
        <w:ind w:left="2880" w:hanging="360"/>
      </w:pPr>
    </w:lvl>
    <w:lvl w:ilvl="4" w:tplc="B26A4374">
      <w:start w:val="1"/>
      <w:numFmt w:val="bullet"/>
      <w:lvlText w:val="○"/>
      <w:lvlJc w:val="left"/>
      <w:pPr>
        <w:ind w:left="3600" w:hanging="360"/>
      </w:pPr>
    </w:lvl>
    <w:lvl w:ilvl="5" w:tplc="2AA2D4F8">
      <w:start w:val="1"/>
      <w:numFmt w:val="bullet"/>
      <w:lvlText w:val="■"/>
      <w:lvlJc w:val="left"/>
      <w:pPr>
        <w:ind w:left="4320" w:hanging="360"/>
      </w:pPr>
    </w:lvl>
    <w:lvl w:ilvl="6" w:tplc="CBD8B766">
      <w:start w:val="1"/>
      <w:numFmt w:val="bullet"/>
      <w:lvlText w:val="●"/>
      <w:lvlJc w:val="left"/>
      <w:pPr>
        <w:ind w:left="5040" w:hanging="360"/>
      </w:pPr>
    </w:lvl>
    <w:lvl w:ilvl="7" w:tplc="73EC92E0">
      <w:start w:val="1"/>
      <w:numFmt w:val="bullet"/>
      <w:lvlText w:val="●"/>
      <w:lvlJc w:val="left"/>
      <w:pPr>
        <w:ind w:left="5760" w:hanging="360"/>
      </w:pPr>
    </w:lvl>
    <w:lvl w:ilvl="8" w:tplc="0A3014DE">
      <w:start w:val="1"/>
      <w:numFmt w:val="bullet"/>
      <w:lvlText w:val="●"/>
      <w:lvlJc w:val="left"/>
      <w:pPr>
        <w:ind w:left="6480" w:hanging="360"/>
      </w:pPr>
    </w:lvl>
  </w:abstractNum>
  <w:num w:numId="1" w16cid:durableId="1903829287">
    <w:abstractNumId w:val="0"/>
    <w:lvlOverride w:ilvl="0">
      <w:startOverride w:val="1"/>
    </w:lvlOverride>
  </w:num>
</w:numbering>
</file>

<file path=word/settings.xml><?xml version="1.0" encoding="utf-8"?>
<w:settings xmlns:wp14="http://schemas.microsoft.com/office/word/2010/wordprocessingDrawing"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zoom w:percent="136"/>
  <w:displayBackgroundShape/>
  <w:hideSpellingErrors/>
  <w:hideGrammaticalError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70F4"/>
    <w:rsid w:val="00405628"/>
    <w:rsid w:val="006970F4"/>
    <w:rsid w:val="007B69DE"/>
    <w:rsid w:val="00AA0551"/>
    <w:rsid w:val="00F0425C"/>
    <w:rsid w:val="0539B182"/>
    <w:rsid w:val="09599F40"/>
    <w:rsid w:val="0B2D9814"/>
    <w:rsid w:val="0EA3E3D3"/>
    <w:rsid w:val="0F7E721B"/>
    <w:rsid w:val="14116706"/>
    <w:rsid w:val="17052BC0"/>
    <w:rsid w:val="195B4261"/>
    <w:rsid w:val="1A5669D2"/>
    <w:rsid w:val="1AA04EE1"/>
    <w:rsid w:val="1C9E6559"/>
    <w:rsid w:val="1DB4C1DE"/>
    <w:rsid w:val="1E727023"/>
    <w:rsid w:val="20E69A17"/>
    <w:rsid w:val="210FE6E8"/>
    <w:rsid w:val="29BF75AF"/>
    <w:rsid w:val="2A610812"/>
    <w:rsid w:val="2BFF2E76"/>
    <w:rsid w:val="2CAFED28"/>
    <w:rsid w:val="2FF7D42A"/>
    <w:rsid w:val="30E5B820"/>
    <w:rsid w:val="33FDDADE"/>
    <w:rsid w:val="349BC96F"/>
    <w:rsid w:val="3E4EEFC5"/>
    <w:rsid w:val="4148DD6A"/>
    <w:rsid w:val="429F3154"/>
    <w:rsid w:val="4C825A12"/>
    <w:rsid w:val="545DDD33"/>
    <w:rsid w:val="54D3BA13"/>
    <w:rsid w:val="5B19FFEB"/>
    <w:rsid w:val="60B44BEF"/>
    <w:rsid w:val="6FA34B62"/>
    <w:rsid w:val="70308F3D"/>
    <w:rsid w:val="71484140"/>
    <w:rsid w:val="72315A43"/>
    <w:rsid w:val="72665B3C"/>
    <w:rsid w:val="72F0FC1C"/>
    <w:rsid w:val="746818A7"/>
    <w:rsid w:val="75D87404"/>
    <w:rsid w:val="76C747CC"/>
    <w:rsid w:val="7BF8DB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8259FED"/>
  <w15:docId w15:val="{42CCDA2C-604B-B849-9077-E42D9455E2B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p14">
  <w:docDefaults>
    <w:rPrDefault>
      <w:rPr>
        <w:rFonts w:ascii="Times New Roman" w:hAnsi="Times New Roman" w:eastAsia="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styleId="EndnoteTextChar" w:customStyle="1">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image" Target="media/image3.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image" Target="media/image1.png" Id="rId5"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Shore, Jennifer</lastModifiedBy>
  <revision>6</revision>
  <dcterms:created xsi:type="dcterms:W3CDTF">2026-09-10T13:18:00.0000000Z</dcterms:created>
  <dcterms:modified xsi:type="dcterms:W3CDTF">2026-09-21T22:59:39.3418298Z</dcterms:modified>
</coreProperties>
</file>